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36"/>
        <w:gridCol w:w="3738"/>
        <w:gridCol w:w="2719"/>
      </w:tblGrid>
      <w:tr w:rsidR="00B65727" w14:paraId="7B2F6DB6" w14:textId="77777777" w:rsidTr="00EE2C45">
        <w:trPr>
          <w:trHeight w:val="3251"/>
        </w:trPr>
        <w:tc>
          <w:tcPr>
            <w:tcW w:w="3036" w:type="dxa"/>
          </w:tcPr>
          <w:p w14:paraId="646E43DD" w14:textId="74944F64" w:rsidR="00B65727" w:rsidRPr="00EE2C45" w:rsidRDefault="00B65727" w:rsidP="00C14511">
            <w:pPr>
              <w:rPr>
                <w:b/>
                <w:bCs/>
                <w:sz w:val="14"/>
                <w:szCs w:val="14"/>
              </w:rPr>
            </w:pPr>
            <w:r w:rsidRPr="00EE2C45"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78B6AE64" wp14:editId="3D944433">
                  <wp:simplePos x="0" y="0"/>
                  <wp:positionH relativeFrom="margin">
                    <wp:posOffset>-11694</wp:posOffset>
                  </wp:positionH>
                  <wp:positionV relativeFrom="paragraph">
                    <wp:posOffset>122963</wp:posOffset>
                  </wp:positionV>
                  <wp:extent cx="1787525" cy="1752600"/>
                  <wp:effectExtent l="0" t="0" r="3175" b="0"/>
                  <wp:wrapSquare wrapText="bothSides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</w:tcPr>
          <w:p w14:paraId="2FFD5158" w14:textId="77777777" w:rsidR="00B65727" w:rsidRPr="00EE2C45" w:rsidRDefault="00B65727" w:rsidP="00B65727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752E5437" w14:textId="30BF250E" w:rsidR="00B65727" w:rsidRPr="00B65727" w:rsidRDefault="00B65727" w:rsidP="00B65727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 w:rsidRPr="00B65727">
              <w:rPr>
                <w:rFonts w:ascii="Bradley Hand ITC" w:hAnsi="Bradley Hand ITC"/>
                <w:b/>
                <w:bCs/>
                <w:sz w:val="56"/>
                <w:szCs w:val="56"/>
              </w:rPr>
              <w:t xml:space="preserve">Independent Learning in </w:t>
            </w:r>
            <w:r w:rsidRPr="00B65727">
              <w:rPr>
                <w:rFonts w:ascii="Bradley Hand ITC" w:hAnsi="Bradley Hand ITC"/>
                <w:b/>
                <w:bCs/>
                <w:sz w:val="72"/>
                <w:szCs w:val="72"/>
              </w:rPr>
              <w:t>Psychology</w:t>
            </w:r>
          </w:p>
        </w:tc>
        <w:tc>
          <w:tcPr>
            <w:tcW w:w="2719" w:type="dxa"/>
          </w:tcPr>
          <w:p w14:paraId="0D61C782" w14:textId="4A65009B" w:rsidR="00B65727" w:rsidRDefault="00B65727">
            <w:r w:rsidRPr="00DB4B39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 wp14:anchorId="1FD51FEA" wp14:editId="37C0B628">
                  <wp:simplePos x="0" y="0"/>
                  <wp:positionH relativeFrom="column">
                    <wp:posOffset>192784</wp:posOffset>
                  </wp:positionH>
                  <wp:positionV relativeFrom="paragraph">
                    <wp:posOffset>218421</wp:posOffset>
                  </wp:positionV>
                  <wp:extent cx="1200785" cy="1719580"/>
                  <wp:effectExtent l="0" t="0" r="0" b="0"/>
                  <wp:wrapSquare wrapText="bothSides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CAE2A1" w14:textId="49022FCE" w:rsidR="002E1514" w:rsidRDefault="002E15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4"/>
        <w:gridCol w:w="222"/>
      </w:tblGrid>
      <w:tr w:rsidR="00B65727" w14:paraId="689D60B8" w14:textId="77777777" w:rsidTr="00B65727">
        <w:tc>
          <w:tcPr>
            <w:tcW w:w="7083" w:type="dxa"/>
          </w:tcPr>
          <w:p w14:paraId="5C9739E7" w14:textId="2BFD11BA" w:rsidR="00B65727" w:rsidRDefault="00B65727">
            <w:r>
              <w:object w:dxaOrig="10770" w:dyaOrig="5700" w14:anchorId="2A63E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5pt;height:239.25pt" o:ole="">
                  <v:imagedata r:id="rId6" o:title=""/>
                </v:shape>
                <o:OLEObject Type="Embed" ProgID="PBrush" ShapeID="_x0000_i1025" DrawAspect="Content" ObjectID="_1671556586" r:id="rId7"/>
              </w:object>
            </w:r>
          </w:p>
        </w:tc>
        <w:tc>
          <w:tcPr>
            <w:tcW w:w="1933" w:type="dxa"/>
          </w:tcPr>
          <w:p w14:paraId="30953EF7" w14:textId="77777777" w:rsidR="00B65727" w:rsidRDefault="00B65727"/>
        </w:tc>
      </w:tr>
      <w:tr w:rsidR="00B65727" w14:paraId="6667E8E6" w14:textId="77777777" w:rsidTr="00B65727">
        <w:tc>
          <w:tcPr>
            <w:tcW w:w="7083" w:type="dxa"/>
          </w:tcPr>
          <w:p w14:paraId="4AE02DAC" w14:textId="6CA1C2BF" w:rsidR="00B65727" w:rsidRDefault="00B65727">
            <w:r>
              <w:t>Resources to help you study</w:t>
            </w:r>
          </w:p>
          <w:p w14:paraId="14B901D7" w14:textId="3CCB82D6" w:rsidR="003E4E48" w:rsidRDefault="003E4E48">
            <w:r>
              <w:t xml:space="preserve">Key resources, such as exam specification, checklists, past papers and mark schemes, exam technique and advice can be found on TEAMS or </w:t>
            </w:r>
            <w:proofErr w:type="gramStart"/>
            <w:r>
              <w:t>P:Drive</w:t>
            </w:r>
            <w:proofErr w:type="gramEnd"/>
            <w: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4"/>
              <w:gridCol w:w="4284"/>
            </w:tblGrid>
            <w:tr w:rsidR="00B65727" w14:paraId="2F9226AF" w14:textId="77777777" w:rsidTr="00B65727">
              <w:tc>
                <w:tcPr>
                  <w:tcW w:w="4284" w:type="dxa"/>
                  <w:shd w:val="clear" w:color="auto" w:fill="D5DCE4" w:themeFill="text2" w:themeFillTint="33"/>
                </w:tcPr>
                <w:p w14:paraId="07189F85" w14:textId="1FACAF76" w:rsidR="00B65727" w:rsidRDefault="00B65727">
                  <w:r>
                    <w:t>Resource</w:t>
                  </w:r>
                </w:p>
              </w:tc>
              <w:tc>
                <w:tcPr>
                  <w:tcW w:w="4284" w:type="dxa"/>
                  <w:shd w:val="clear" w:color="auto" w:fill="D5DCE4" w:themeFill="text2" w:themeFillTint="33"/>
                </w:tcPr>
                <w:p w14:paraId="56AC6B03" w14:textId="663CA34B" w:rsidR="00B65727" w:rsidRDefault="00B65727">
                  <w:r>
                    <w:t>Description</w:t>
                  </w:r>
                </w:p>
              </w:tc>
            </w:tr>
            <w:tr w:rsidR="00B65727" w14:paraId="7CB4098E" w14:textId="77777777" w:rsidTr="00B65727">
              <w:tc>
                <w:tcPr>
                  <w:tcW w:w="4284" w:type="dxa"/>
                  <w:shd w:val="clear" w:color="auto" w:fill="auto"/>
                </w:tcPr>
                <w:p w14:paraId="573C7736" w14:textId="356B605B" w:rsidR="00B65727" w:rsidRDefault="00B65727">
                  <w:r>
                    <w:t>Student checklist sheets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45B6464E" w14:textId="73EE00EA" w:rsidR="00B65727" w:rsidRDefault="00B65727">
                  <w:r>
                    <w:t>You should have one of these that closely follows the specification</w:t>
                  </w:r>
                  <w:r w:rsidR="003E4E48">
                    <w:t xml:space="preserve"> and what you should have in your notes</w:t>
                  </w:r>
                </w:p>
              </w:tc>
            </w:tr>
            <w:tr w:rsidR="00B65727" w14:paraId="705F5D0B" w14:textId="77777777" w:rsidTr="00B65727">
              <w:tc>
                <w:tcPr>
                  <w:tcW w:w="4284" w:type="dxa"/>
                  <w:shd w:val="clear" w:color="auto" w:fill="auto"/>
                </w:tcPr>
                <w:p w14:paraId="3628185C" w14:textId="0A13AC8F" w:rsidR="00B65727" w:rsidRDefault="003E4E48">
                  <w:r>
                    <w:t>Psychology AS/1L – The complete companion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3B3B635B" w14:textId="1EF17418" w:rsidR="00B65727" w:rsidRDefault="003E4E48">
                  <w:r>
                    <w:t>This is the course textbook for Year 1 content</w:t>
                  </w:r>
                </w:p>
              </w:tc>
            </w:tr>
            <w:tr w:rsidR="003E4E48" w14:paraId="252E0EAD" w14:textId="77777777" w:rsidTr="00B65727">
              <w:tc>
                <w:tcPr>
                  <w:tcW w:w="4284" w:type="dxa"/>
                  <w:shd w:val="clear" w:color="auto" w:fill="auto"/>
                </w:tcPr>
                <w:p w14:paraId="0790DE50" w14:textId="74724DDD" w:rsidR="003E4E48" w:rsidRDefault="003E4E48">
                  <w:r>
                    <w:t>AQA A Level Psychology 2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14:paraId="5BAD5F4E" w14:textId="2AABBFFD" w:rsidR="003E4E48" w:rsidRDefault="003E4E48">
                  <w:r>
                    <w:t>This is the course companion for the 2</w:t>
                  </w:r>
                  <w:r w:rsidRPr="003E4E48">
                    <w:rPr>
                      <w:vertAlign w:val="superscript"/>
                    </w:rPr>
                    <w:t>nd</w:t>
                  </w:r>
                  <w:r>
                    <w:t xml:space="preserve"> year</w:t>
                  </w:r>
                </w:p>
              </w:tc>
            </w:tr>
            <w:tr w:rsidR="003E4E48" w14:paraId="628655D7" w14:textId="77777777" w:rsidTr="00B65727">
              <w:tc>
                <w:tcPr>
                  <w:tcW w:w="4284" w:type="dxa"/>
                  <w:shd w:val="clear" w:color="auto" w:fill="auto"/>
                </w:tcPr>
                <w:p w14:paraId="04A71C8C" w14:textId="2E219C1D" w:rsidR="003E4E48" w:rsidRDefault="00E26AF5">
                  <w:hyperlink r:id="rId8" w:history="1">
                    <w:r w:rsidR="003E4E48">
                      <w:rPr>
                        <w:rStyle w:val="Hyperlink"/>
                      </w:rPr>
                      <w:t>Explore | Psychology | tutor2u</w:t>
                    </w:r>
                  </w:hyperlink>
                </w:p>
              </w:tc>
              <w:tc>
                <w:tcPr>
                  <w:tcW w:w="4284" w:type="dxa"/>
                  <w:shd w:val="clear" w:color="auto" w:fill="auto"/>
                </w:tcPr>
                <w:p w14:paraId="19FEE43A" w14:textId="3DFCF496" w:rsidR="003E4E48" w:rsidRDefault="003E4E48">
                  <w:r>
                    <w:t xml:space="preserve">Navigate your way around this useful website to find key study notes, revision webinars and top tips for exam success. </w:t>
                  </w:r>
                </w:p>
              </w:tc>
            </w:tr>
            <w:tr w:rsidR="003E4E48" w14:paraId="7CEFFD4A" w14:textId="77777777" w:rsidTr="00B65727">
              <w:tc>
                <w:tcPr>
                  <w:tcW w:w="4284" w:type="dxa"/>
                  <w:shd w:val="clear" w:color="auto" w:fill="auto"/>
                </w:tcPr>
                <w:p w14:paraId="17CD8E7B" w14:textId="55FA522E" w:rsidR="003E4E48" w:rsidRDefault="00E26AF5">
                  <w:hyperlink r:id="rId9" w:history="1">
                    <w:r w:rsidR="00C14511">
                      <w:rPr>
                        <w:rStyle w:val="Hyperlink"/>
                      </w:rPr>
                      <w:t>Simply Psychology</w:t>
                    </w:r>
                  </w:hyperlink>
                </w:p>
              </w:tc>
              <w:tc>
                <w:tcPr>
                  <w:tcW w:w="4284" w:type="dxa"/>
                  <w:shd w:val="clear" w:color="auto" w:fill="auto"/>
                </w:tcPr>
                <w:p w14:paraId="43DFD4B5" w14:textId="2212D8B8" w:rsidR="003E4E48" w:rsidRDefault="00C14511">
                  <w:r>
                    <w:t>A good website with an overview of key areas linked to the specification. You can use this to help clarify lesson content or extend your learning.</w:t>
                  </w:r>
                </w:p>
              </w:tc>
            </w:tr>
            <w:tr w:rsidR="00C14511" w14:paraId="221E54E6" w14:textId="77777777" w:rsidTr="00B65727">
              <w:tc>
                <w:tcPr>
                  <w:tcW w:w="4284" w:type="dxa"/>
                  <w:shd w:val="clear" w:color="auto" w:fill="auto"/>
                </w:tcPr>
                <w:p w14:paraId="62532F1B" w14:textId="4D6D74E4" w:rsidR="00C14511" w:rsidRDefault="00E26AF5">
                  <w:hyperlink r:id="rId10" w:history="1">
                    <w:r w:rsidR="00C14511">
                      <w:rPr>
                        <w:rStyle w:val="Hyperlink"/>
                      </w:rPr>
                      <w:t>A to Z of psychology | BPS</w:t>
                    </w:r>
                  </w:hyperlink>
                </w:p>
              </w:tc>
              <w:tc>
                <w:tcPr>
                  <w:tcW w:w="4284" w:type="dxa"/>
                  <w:shd w:val="clear" w:color="auto" w:fill="auto"/>
                </w:tcPr>
                <w:p w14:paraId="2C4304DD" w14:textId="75DA8390" w:rsidR="00C14511" w:rsidRDefault="00C14511">
                  <w:r>
                    <w:t>A useful glossary of key psychological terms.</w:t>
                  </w:r>
                </w:p>
              </w:tc>
            </w:tr>
          </w:tbl>
          <w:p w14:paraId="56CD7617" w14:textId="77777777" w:rsidR="00B65727" w:rsidRPr="00EE2C45" w:rsidRDefault="00C14511">
            <w:pPr>
              <w:rPr>
                <w:b/>
                <w:bCs/>
              </w:rPr>
            </w:pPr>
            <w:r w:rsidRPr="00EE2C45">
              <w:rPr>
                <w:b/>
                <w:bCs/>
              </w:rPr>
              <w:t>Stretch yourself-</w:t>
            </w:r>
          </w:p>
          <w:p w14:paraId="75FB1D54" w14:textId="2F3F7550" w:rsidR="00C14511" w:rsidRDefault="00C14511">
            <w:r>
              <w:t>Sign up to the British Psychological Society and receive their emails on their latest psychological research out there.  Access Psychological Review magazines to deepen your learning from your class teacher.</w:t>
            </w:r>
          </w:p>
        </w:tc>
        <w:tc>
          <w:tcPr>
            <w:tcW w:w="1933" w:type="dxa"/>
          </w:tcPr>
          <w:p w14:paraId="3DA10C76" w14:textId="77777777" w:rsidR="00B65727" w:rsidRDefault="00B65727"/>
        </w:tc>
      </w:tr>
    </w:tbl>
    <w:p w14:paraId="73F0BB0A" w14:textId="2FEEA1A2" w:rsidR="00B65727" w:rsidRDefault="00B65727"/>
    <w:p w14:paraId="70BB9DEA" w14:textId="68A60095" w:rsidR="00227A1D" w:rsidRDefault="00227A1D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36"/>
        <w:gridCol w:w="3738"/>
        <w:gridCol w:w="2719"/>
      </w:tblGrid>
      <w:tr w:rsidR="00227A1D" w14:paraId="2A1CCA3C" w14:textId="77777777" w:rsidTr="00F61ADC">
        <w:trPr>
          <w:trHeight w:val="3251"/>
        </w:trPr>
        <w:tc>
          <w:tcPr>
            <w:tcW w:w="3036" w:type="dxa"/>
          </w:tcPr>
          <w:p w14:paraId="4EBB3333" w14:textId="77777777" w:rsidR="00227A1D" w:rsidRPr="00EE2C45" w:rsidRDefault="00227A1D" w:rsidP="00F61ADC">
            <w:pPr>
              <w:rPr>
                <w:b/>
                <w:bCs/>
                <w:sz w:val="14"/>
                <w:szCs w:val="14"/>
              </w:rPr>
            </w:pPr>
            <w:r w:rsidRPr="00EE2C45"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37FF2637" wp14:editId="5269D82F">
                  <wp:simplePos x="0" y="0"/>
                  <wp:positionH relativeFrom="margin">
                    <wp:posOffset>-11694</wp:posOffset>
                  </wp:positionH>
                  <wp:positionV relativeFrom="paragraph">
                    <wp:posOffset>122963</wp:posOffset>
                  </wp:positionV>
                  <wp:extent cx="1787525" cy="1752600"/>
                  <wp:effectExtent l="0" t="0" r="3175" b="0"/>
                  <wp:wrapSquare wrapText="bothSides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</w:tcPr>
          <w:p w14:paraId="7EA806DD" w14:textId="77777777" w:rsidR="00227A1D" w:rsidRPr="00EE2C45" w:rsidRDefault="00227A1D" w:rsidP="00F61ADC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6A427B9D" w14:textId="77777777" w:rsidR="00227A1D" w:rsidRDefault="00227A1D" w:rsidP="00F61ADC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 w:rsidRPr="00B65727">
              <w:rPr>
                <w:rFonts w:ascii="Bradley Hand ITC" w:hAnsi="Bradley Hand ITC"/>
                <w:b/>
                <w:bCs/>
                <w:sz w:val="56"/>
                <w:szCs w:val="56"/>
              </w:rPr>
              <w:t xml:space="preserve">Independent Learning in </w:t>
            </w:r>
          </w:p>
          <w:p w14:paraId="0F1C363D" w14:textId="26A0EACC" w:rsidR="00000F7A" w:rsidRPr="00B65727" w:rsidRDefault="00000F7A" w:rsidP="00F61ADC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</w:p>
        </w:tc>
        <w:tc>
          <w:tcPr>
            <w:tcW w:w="2719" w:type="dxa"/>
          </w:tcPr>
          <w:p w14:paraId="48596FA4" w14:textId="77777777" w:rsidR="00227A1D" w:rsidRDefault="00227A1D" w:rsidP="00F61ADC">
            <w:r w:rsidRPr="00DB4B39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 wp14:anchorId="41975280" wp14:editId="6544C0A7">
                  <wp:simplePos x="0" y="0"/>
                  <wp:positionH relativeFrom="column">
                    <wp:posOffset>192784</wp:posOffset>
                  </wp:positionH>
                  <wp:positionV relativeFrom="paragraph">
                    <wp:posOffset>218421</wp:posOffset>
                  </wp:positionV>
                  <wp:extent cx="1200785" cy="1719580"/>
                  <wp:effectExtent l="0" t="0" r="0" b="0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87299A" w14:textId="77777777" w:rsidR="00227A1D" w:rsidRDefault="00227A1D" w:rsidP="00227A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27A1D" w14:paraId="4266A864" w14:textId="77777777" w:rsidTr="00F61ADC">
        <w:tc>
          <w:tcPr>
            <w:tcW w:w="7083" w:type="dxa"/>
          </w:tcPr>
          <w:p w14:paraId="7DAD438D" w14:textId="0AAD87F2" w:rsidR="00227A1D" w:rsidRPr="00227A1D" w:rsidRDefault="00227A1D" w:rsidP="00F61ADC">
            <w:pPr>
              <w:rPr>
                <w:b/>
                <w:bCs/>
                <w:i/>
                <w:iCs/>
              </w:rPr>
            </w:pPr>
            <w:r w:rsidRPr="00227A1D">
              <w:rPr>
                <w:b/>
                <w:bCs/>
                <w:i/>
                <w:iCs/>
              </w:rPr>
              <w:t>After each lesson, in addition to completing any work set, a pro-active independent learner would</w:t>
            </w:r>
            <w:r>
              <w:rPr>
                <w:b/>
                <w:bCs/>
                <w:i/>
                <w:iCs/>
              </w:rPr>
              <w:t>……</w:t>
            </w:r>
          </w:p>
          <w:p w14:paraId="1CDB347C" w14:textId="77777777" w:rsidR="00227A1D" w:rsidRDefault="00227A1D" w:rsidP="00F61ADC"/>
          <w:p w14:paraId="64885885" w14:textId="77777777" w:rsidR="00227A1D" w:rsidRDefault="00227A1D" w:rsidP="00F61ADC"/>
          <w:p w14:paraId="186D99A1" w14:textId="17943C06" w:rsidR="00227A1D" w:rsidRDefault="00227A1D" w:rsidP="00F61ADC"/>
          <w:p w14:paraId="2CCF70BF" w14:textId="2D251C90" w:rsidR="00227A1D" w:rsidRDefault="00227A1D" w:rsidP="00F61ADC"/>
          <w:p w14:paraId="03C59D9A" w14:textId="4F3BD5E4" w:rsidR="00227A1D" w:rsidRDefault="00227A1D" w:rsidP="00F61ADC"/>
          <w:p w14:paraId="45896777" w14:textId="43531FB0" w:rsidR="00227A1D" w:rsidRDefault="00227A1D" w:rsidP="00F61ADC"/>
          <w:p w14:paraId="66F38C82" w14:textId="286254CF" w:rsidR="00227A1D" w:rsidRDefault="00227A1D" w:rsidP="00F61ADC"/>
          <w:p w14:paraId="5F5C4D28" w14:textId="7308EE11" w:rsidR="00227A1D" w:rsidRDefault="00227A1D" w:rsidP="00F61ADC"/>
          <w:p w14:paraId="38A1E9A7" w14:textId="368D7FAA" w:rsidR="00227A1D" w:rsidRDefault="00227A1D" w:rsidP="00F61ADC"/>
          <w:p w14:paraId="6D6767FC" w14:textId="77777777" w:rsidR="00227A1D" w:rsidRDefault="00227A1D" w:rsidP="00F61ADC"/>
          <w:p w14:paraId="3553CF90" w14:textId="5DB8DFC6" w:rsidR="00227A1D" w:rsidRDefault="00227A1D" w:rsidP="00F61ADC"/>
        </w:tc>
        <w:tc>
          <w:tcPr>
            <w:tcW w:w="1933" w:type="dxa"/>
          </w:tcPr>
          <w:p w14:paraId="6B4EA040" w14:textId="55312AE9" w:rsidR="00227A1D" w:rsidRDefault="00227A1D" w:rsidP="00227A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49FE3EE0" wp14:editId="5A480D60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1028700</wp:posOffset>
                      </wp:positionV>
                      <wp:extent cx="2360930" cy="315595"/>
                      <wp:effectExtent l="0" t="6033" r="14288" b="14287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36093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AA193" w14:textId="65B0A161" w:rsidR="00227A1D" w:rsidRPr="00227A1D" w:rsidRDefault="00227A1D" w:rsidP="00227A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7A1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Effort Grade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E3E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9pt;margin-top:81pt;width:185.9pt;height:24.85pt;rotation:90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">
                      <v:textbox>
                        <w:txbxContent>
                          <w:p w14:paraId="67AAA193" w14:textId="65B0A161" w:rsidR="00227A1D" w:rsidRPr="00227A1D" w:rsidRDefault="00227A1D" w:rsidP="00227A1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7A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Effort Grade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E25CCA" wp14:editId="038EF9E3">
                      <wp:simplePos x="0" y="0"/>
                      <wp:positionH relativeFrom="column">
                        <wp:posOffset>200708</wp:posOffset>
                      </wp:positionH>
                      <wp:positionV relativeFrom="paragraph">
                        <wp:posOffset>98485</wp:posOffset>
                      </wp:positionV>
                      <wp:extent cx="672860" cy="2044460"/>
                      <wp:effectExtent l="19050" t="0" r="13335" b="3238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60" cy="2044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F61D4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7" o:spid="_x0000_s1026" type="#_x0000_t67" style="position:absolute;margin-left:15.8pt;margin-top:7.75pt;width:53pt;height:16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" adj="18046" fillcolor="#4472c4 [3204]" strokecolor="#1f3763 [1604]" strokeweight="1pt"/>
                  </w:pict>
                </mc:Fallback>
              </mc:AlternateContent>
            </w:r>
          </w:p>
        </w:tc>
      </w:tr>
      <w:tr w:rsidR="00227A1D" w14:paraId="4CD4C2A6" w14:textId="77777777" w:rsidTr="00F61ADC">
        <w:tc>
          <w:tcPr>
            <w:tcW w:w="7083" w:type="dxa"/>
          </w:tcPr>
          <w:p w14:paraId="7756E8F4" w14:textId="77777777" w:rsidR="00227A1D" w:rsidRDefault="00227A1D" w:rsidP="00F61ADC">
            <w:r>
              <w:t>Resources to help you study</w:t>
            </w:r>
          </w:p>
          <w:p w14:paraId="5C33D6AB" w14:textId="3D473712" w:rsidR="00227A1D" w:rsidRDefault="00227A1D" w:rsidP="00F61ADC"/>
          <w:p w14:paraId="70187FA8" w14:textId="77777777" w:rsidR="00227A1D" w:rsidRDefault="00227A1D" w:rsidP="00F61AD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3455"/>
            </w:tblGrid>
            <w:tr w:rsidR="00227A1D" w14:paraId="7B88F5B7" w14:textId="77777777" w:rsidTr="00F61ADC">
              <w:tc>
                <w:tcPr>
                  <w:tcW w:w="4284" w:type="dxa"/>
                  <w:shd w:val="clear" w:color="auto" w:fill="D5DCE4" w:themeFill="text2" w:themeFillTint="33"/>
                </w:tcPr>
                <w:p w14:paraId="4BBF4C0A" w14:textId="77777777" w:rsidR="00227A1D" w:rsidRDefault="00227A1D" w:rsidP="00F61ADC">
                  <w:r>
                    <w:t>Resource</w:t>
                  </w:r>
                </w:p>
              </w:tc>
              <w:tc>
                <w:tcPr>
                  <w:tcW w:w="4284" w:type="dxa"/>
                  <w:shd w:val="clear" w:color="auto" w:fill="D5DCE4" w:themeFill="text2" w:themeFillTint="33"/>
                </w:tcPr>
                <w:p w14:paraId="04D50762" w14:textId="77777777" w:rsidR="00227A1D" w:rsidRDefault="00227A1D" w:rsidP="00F61ADC">
                  <w:r>
                    <w:t>Description</w:t>
                  </w:r>
                </w:p>
              </w:tc>
            </w:tr>
            <w:tr w:rsidR="00227A1D" w14:paraId="34BD76AD" w14:textId="77777777" w:rsidTr="00F61ADC">
              <w:tc>
                <w:tcPr>
                  <w:tcW w:w="4284" w:type="dxa"/>
                  <w:shd w:val="clear" w:color="auto" w:fill="auto"/>
                </w:tcPr>
                <w:p w14:paraId="504779BF" w14:textId="2EAC9B09" w:rsidR="00227A1D" w:rsidRDefault="00227A1D" w:rsidP="00F61ADC"/>
              </w:tc>
              <w:tc>
                <w:tcPr>
                  <w:tcW w:w="4284" w:type="dxa"/>
                  <w:shd w:val="clear" w:color="auto" w:fill="auto"/>
                </w:tcPr>
                <w:p w14:paraId="61166F6C" w14:textId="256F0201" w:rsidR="00227A1D" w:rsidRDefault="00227A1D" w:rsidP="00F61ADC"/>
              </w:tc>
            </w:tr>
            <w:tr w:rsidR="00227A1D" w14:paraId="284B17F5" w14:textId="77777777" w:rsidTr="00F61ADC">
              <w:tc>
                <w:tcPr>
                  <w:tcW w:w="4284" w:type="dxa"/>
                  <w:shd w:val="clear" w:color="auto" w:fill="auto"/>
                </w:tcPr>
                <w:p w14:paraId="637E88A9" w14:textId="3F4B1130" w:rsidR="00227A1D" w:rsidRDefault="00227A1D" w:rsidP="00F61ADC"/>
              </w:tc>
              <w:tc>
                <w:tcPr>
                  <w:tcW w:w="4284" w:type="dxa"/>
                  <w:shd w:val="clear" w:color="auto" w:fill="auto"/>
                </w:tcPr>
                <w:p w14:paraId="084DB5FB" w14:textId="2EC4645D" w:rsidR="00227A1D" w:rsidRDefault="00227A1D" w:rsidP="00F61ADC"/>
              </w:tc>
            </w:tr>
            <w:tr w:rsidR="00227A1D" w14:paraId="54C5ECEF" w14:textId="77777777" w:rsidTr="00F61ADC">
              <w:tc>
                <w:tcPr>
                  <w:tcW w:w="4284" w:type="dxa"/>
                  <w:shd w:val="clear" w:color="auto" w:fill="auto"/>
                </w:tcPr>
                <w:p w14:paraId="63E2C733" w14:textId="356545A6" w:rsidR="00227A1D" w:rsidRDefault="00227A1D" w:rsidP="00F61ADC"/>
              </w:tc>
              <w:tc>
                <w:tcPr>
                  <w:tcW w:w="4284" w:type="dxa"/>
                  <w:shd w:val="clear" w:color="auto" w:fill="auto"/>
                </w:tcPr>
                <w:p w14:paraId="0E00EE62" w14:textId="3DDF2A44" w:rsidR="00227A1D" w:rsidRDefault="00227A1D" w:rsidP="00F61ADC"/>
              </w:tc>
            </w:tr>
            <w:tr w:rsidR="00227A1D" w14:paraId="551D1EB9" w14:textId="77777777" w:rsidTr="00F61ADC">
              <w:tc>
                <w:tcPr>
                  <w:tcW w:w="4284" w:type="dxa"/>
                  <w:shd w:val="clear" w:color="auto" w:fill="auto"/>
                </w:tcPr>
                <w:p w14:paraId="481F63AA" w14:textId="6C3AC39B" w:rsidR="00227A1D" w:rsidRDefault="00227A1D" w:rsidP="00F61ADC"/>
              </w:tc>
              <w:tc>
                <w:tcPr>
                  <w:tcW w:w="4284" w:type="dxa"/>
                  <w:shd w:val="clear" w:color="auto" w:fill="auto"/>
                </w:tcPr>
                <w:p w14:paraId="773F5E9A" w14:textId="32D68F0D" w:rsidR="00227A1D" w:rsidRDefault="00227A1D" w:rsidP="00F61ADC"/>
              </w:tc>
            </w:tr>
            <w:tr w:rsidR="00227A1D" w14:paraId="41AACE05" w14:textId="77777777" w:rsidTr="00F61ADC">
              <w:tc>
                <w:tcPr>
                  <w:tcW w:w="4284" w:type="dxa"/>
                  <w:shd w:val="clear" w:color="auto" w:fill="auto"/>
                </w:tcPr>
                <w:p w14:paraId="593084E2" w14:textId="6C7A81E8" w:rsidR="00227A1D" w:rsidRDefault="00227A1D" w:rsidP="00F61ADC"/>
              </w:tc>
              <w:tc>
                <w:tcPr>
                  <w:tcW w:w="4284" w:type="dxa"/>
                  <w:shd w:val="clear" w:color="auto" w:fill="auto"/>
                </w:tcPr>
                <w:p w14:paraId="3566BE99" w14:textId="54697356" w:rsidR="00227A1D" w:rsidRDefault="00227A1D" w:rsidP="00F61ADC"/>
              </w:tc>
            </w:tr>
            <w:tr w:rsidR="00227A1D" w14:paraId="09662056" w14:textId="77777777" w:rsidTr="00F61ADC">
              <w:tc>
                <w:tcPr>
                  <w:tcW w:w="4284" w:type="dxa"/>
                  <w:shd w:val="clear" w:color="auto" w:fill="auto"/>
                </w:tcPr>
                <w:p w14:paraId="50AE78DF" w14:textId="3BD155F8" w:rsidR="00227A1D" w:rsidRDefault="00227A1D" w:rsidP="00F61ADC"/>
              </w:tc>
              <w:tc>
                <w:tcPr>
                  <w:tcW w:w="4284" w:type="dxa"/>
                  <w:shd w:val="clear" w:color="auto" w:fill="auto"/>
                </w:tcPr>
                <w:p w14:paraId="505FE1CC" w14:textId="68DBD439" w:rsidR="00227A1D" w:rsidRDefault="00227A1D" w:rsidP="00F61ADC"/>
              </w:tc>
            </w:tr>
          </w:tbl>
          <w:p w14:paraId="2DF332D3" w14:textId="7866E5B3" w:rsidR="00227A1D" w:rsidRPr="00EE2C45" w:rsidRDefault="00227A1D" w:rsidP="00F61ADC">
            <w:pPr>
              <w:rPr>
                <w:b/>
                <w:bCs/>
              </w:rPr>
            </w:pPr>
            <w:r w:rsidRPr="00EE2C45">
              <w:rPr>
                <w:b/>
                <w:bCs/>
              </w:rPr>
              <w:t>Stretch yourself-</w:t>
            </w:r>
          </w:p>
          <w:p w14:paraId="003E7DA5" w14:textId="77777777" w:rsidR="00227A1D" w:rsidRDefault="00227A1D" w:rsidP="00F61ADC">
            <w:r>
              <w:br/>
            </w:r>
          </w:p>
          <w:p w14:paraId="65F1893D" w14:textId="7C345F71" w:rsidR="00227A1D" w:rsidRDefault="00227A1D" w:rsidP="00F61ADC"/>
        </w:tc>
        <w:tc>
          <w:tcPr>
            <w:tcW w:w="1933" w:type="dxa"/>
          </w:tcPr>
          <w:p w14:paraId="7E2AD906" w14:textId="77777777" w:rsidR="00227A1D" w:rsidRDefault="00227A1D" w:rsidP="00F61ADC"/>
        </w:tc>
      </w:tr>
    </w:tbl>
    <w:p w14:paraId="193C43BB" w14:textId="77777777" w:rsidR="00227A1D" w:rsidRDefault="00227A1D" w:rsidP="00227A1D"/>
    <w:p w14:paraId="43714798" w14:textId="77777777" w:rsidR="00227A1D" w:rsidRDefault="00227A1D"/>
    <w:sectPr w:rsidR="00227A1D" w:rsidSect="00EE2C4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7"/>
    <w:rsid w:val="00000F7A"/>
    <w:rsid w:val="00035319"/>
    <w:rsid w:val="00227A1D"/>
    <w:rsid w:val="002E1514"/>
    <w:rsid w:val="00335921"/>
    <w:rsid w:val="003E4E48"/>
    <w:rsid w:val="00B65727"/>
    <w:rsid w:val="00C14511"/>
    <w:rsid w:val="00E26AF5"/>
    <w:rsid w:val="00E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CA40"/>
  <w15:chartTrackingRefBased/>
  <w15:docId w15:val="{28FFCA93-49E6-40CA-A3EC-45B4647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E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2u.net/psychology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bps.org.uk/public/a-z-of-psycholog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implypsycholog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Murphy</dc:creator>
  <cp:keywords/>
  <dc:description/>
  <cp:lastModifiedBy>Simon Murphy</cp:lastModifiedBy>
  <cp:revision>2</cp:revision>
  <dcterms:created xsi:type="dcterms:W3CDTF">2021-01-07T20:30:00Z</dcterms:created>
  <dcterms:modified xsi:type="dcterms:W3CDTF">2021-01-07T20:30:00Z</dcterms:modified>
</cp:coreProperties>
</file>